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523" w:rsidRPr="00141CF8" w:rsidRDefault="00EF0523" w:rsidP="00EF0523">
      <w:pPr>
        <w:ind w:hanging="709"/>
        <w:rPr>
          <w:rFonts w:ascii="Arial" w:hAnsi="Arial" w:cs="Arial"/>
          <w:b/>
          <w:sz w:val="28"/>
          <w:szCs w:val="28"/>
        </w:rPr>
      </w:pPr>
      <w:r w:rsidRPr="00141CF8">
        <w:rPr>
          <w:rFonts w:ascii="Arial" w:hAnsi="Arial" w:cs="Arial"/>
          <w:b/>
          <w:sz w:val="28"/>
          <w:szCs w:val="28"/>
        </w:rPr>
        <w:t>Advance HE Strategic EIA G</w:t>
      </w:r>
      <w:r w:rsidR="00F53951">
        <w:rPr>
          <w:rFonts w:ascii="Arial" w:hAnsi="Arial" w:cs="Arial"/>
          <w:b/>
          <w:sz w:val="28"/>
          <w:szCs w:val="28"/>
        </w:rPr>
        <w:t>uidance - EIA optional template</w:t>
      </w:r>
      <w:r w:rsidRPr="00141CF8">
        <w:rPr>
          <w:rFonts w:ascii="Arial" w:hAnsi="Arial" w:cs="Arial"/>
          <w:b/>
          <w:sz w:val="28"/>
          <w:szCs w:val="28"/>
        </w:rPr>
        <w:t xml:space="preserve"> </w:t>
      </w:r>
    </w:p>
    <w:p w:rsidR="00EF0523" w:rsidRDefault="00EF0523" w:rsidP="00EF0523">
      <w:pPr>
        <w:ind w:hanging="709"/>
        <w:rPr>
          <w:rFonts w:ascii="Arial" w:hAnsi="Arial" w:cs="Arial"/>
          <w:b/>
          <w:sz w:val="24"/>
          <w:szCs w:val="24"/>
        </w:rPr>
      </w:pPr>
      <w:r w:rsidRPr="00BD6AE6">
        <w:rPr>
          <w:rFonts w:ascii="Arial" w:hAnsi="Arial" w:cs="Arial"/>
          <w:b/>
          <w:sz w:val="24"/>
          <w:szCs w:val="24"/>
        </w:rPr>
        <w:t>EIA for _____________</w:t>
      </w:r>
      <w:r>
        <w:rPr>
          <w:rFonts w:ascii="Arial" w:hAnsi="Arial" w:cs="Arial"/>
          <w:b/>
          <w:sz w:val="24"/>
          <w:szCs w:val="24"/>
        </w:rPr>
        <w:t>_______</w:t>
      </w:r>
      <w:r w:rsidRPr="00BD6AE6">
        <w:rPr>
          <w:rFonts w:ascii="Arial" w:hAnsi="Arial" w:cs="Arial"/>
          <w:b/>
          <w:sz w:val="24"/>
          <w:szCs w:val="24"/>
        </w:rPr>
        <w:t>.  Date</w:t>
      </w:r>
      <w:r w:rsidR="009D6E7E" w:rsidRPr="00BD6AE6">
        <w:rPr>
          <w:rFonts w:ascii="Arial" w:hAnsi="Arial" w:cs="Arial"/>
          <w:b/>
          <w:sz w:val="24"/>
          <w:szCs w:val="24"/>
        </w:rPr>
        <w:t>: _</w:t>
      </w:r>
      <w:r w:rsidRPr="00BD6AE6">
        <w:rPr>
          <w:rFonts w:ascii="Arial" w:hAnsi="Arial" w:cs="Arial"/>
          <w:b/>
          <w:sz w:val="24"/>
          <w:szCs w:val="24"/>
        </w:rPr>
        <w:t>_________</w:t>
      </w:r>
      <w:r>
        <w:rPr>
          <w:rFonts w:ascii="Arial" w:hAnsi="Arial" w:cs="Arial"/>
          <w:b/>
          <w:sz w:val="24"/>
          <w:szCs w:val="24"/>
        </w:rPr>
        <w:t>__</w:t>
      </w:r>
      <w:r w:rsidRPr="00BD6AE6">
        <w:rPr>
          <w:rFonts w:ascii="Arial" w:hAnsi="Arial" w:cs="Arial"/>
          <w:b/>
          <w:sz w:val="24"/>
          <w:szCs w:val="24"/>
        </w:rPr>
        <w:t xml:space="preserve">    Author:  __</w:t>
      </w:r>
      <w:r>
        <w:rPr>
          <w:rFonts w:ascii="Arial" w:hAnsi="Arial" w:cs="Arial"/>
          <w:b/>
          <w:sz w:val="24"/>
          <w:szCs w:val="24"/>
        </w:rPr>
        <w:t>_______________</w:t>
      </w:r>
    </w:p>
    <w:p w:rsidR="00497F2F" w:rsidRPr="00497F2F" w:rsidRDefault="00EF0523" w:rsidP="00497F2F">
      <w:pPr>
        <w:ind w:hanging="709"/>
        <w:rPr>
          <w:rFonts w:ascii="Arial" w:hAnsi="Arial" w:cs="Arial"/>
          <w:b/>
          <w:bCs/>
          <w:sz w:val="24"/>
          <w:szCs w:val="24"/>
        </w:rPr>
      </w:pPr>
      <w:r w:rsidRPr="00BD6AE6">
        <w:rPr>
          <w:rFonts w:ascii="Arial" w:hAnsi="Arial" w:cs="Arial"/>
          <w:b/>
          <w:bCs/>
          <w:sz w:val="24"/>
          <w:szCs w:val="24"/>
        </w:rPr>
        <w:t>Review Team__________________________________________________________________________________</w:t>
      </w:r>
      <w:r>
        <w:rPr>
          <w:rFonts w:ascii="Arial" w:hAnsi="Arial" w:cs="Arial"/>
          <w:b/>
          <w:bCs/>
          <w:sz w:val="24"/>
          <w:szCs w:val="24"/>
        </w:rPr>
        <w:t>________________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14520"/>
      </w:tblGrid>
      <w:tr w:rsidR="00497F2F" w:rsidTr="00497F2F">
        <w:tc>
          <w:tcPr>
            <w:tcW w:w="14520" w:type="dxa"/>
          </w:tcPr>
          <w:p w:rsidR="00497F2F" w:rsidRPr="00BD6AE6" w:rsidRDefault="00497F2F" w:rsidP="00497F2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D6AE6">
              <w:rPr>
                <w:rFonts w:ascii="Arial" w:hAnsi="Arial" w:cs="Arial"/>
                <w:b/>
                <w:sz w:val="24"/>
                <w:szCs w:val="24"/>
              </w:rPr>
              <w:t>General Principles:</w:t>
            </w:r>
          </w:p>
          <w:p w:rsidR="00497F2F" w:rsidRDefault="003E32BC" w:rsidP="00497F2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 strategic </w:t>
            </w:r>
            <w:r w:rsidR="00497F2F" w:rsidRPr="007A0520">
              <w:rPr>
                <w:rFonts w:ascii="Arial" w:hAnsi="Arial" w:cs="Arial"/>
                <w:b/>
                <w:bCs/>
                <w:sz w:val="24"/>
                <w:szCs w:val="24"/>
              </w:rPr>
              <w:t>EIA</w:t>
            </w:r>
            <w:r w:rsidR="00497F2F" w:rsidRPr="00934C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7F2F" w:rsidRPr="007A0520">
              <w:rPr>
                <w:rFonts w:ascii="Arial" w:hAnsi="Arial" w:cs="Arial"/>
                <w:b/>
                <w:bCs/>
                <w:sz w:val="24"/>
                <w:szCs w:val="24"/>
              </w:rPr>
              <w:t>is positioned within an institution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’s</w:t>
            </w:r>
            <w:r w:rsidR="00497F2F" w:rsidRPr="007A05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equality </w:t>
            </w:r>
            <w:r w:rsidR="00D4189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priorities and any equality strategy or strategic </w:t>
            </w:r>
            <w:r w:rsidR="00497F2F" w:rsidRPr="007A0520">
              <w:rPr>
                <w:rFonts w:ascii="Arial" w:hAnsi="Arial" w:cs="Arial"/>
                <w:b/>
                <w:bCs/>
                <w:sz w:val="24"/>
                <w:szCs w:val="24"/>
              </w:rPr>
              <w:t>framework</w:t>
            </w:r>
            <w:r w:rsidR="00D41894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:rsidR="00497F2F" w:rsidRPr="00934C54" w:rsidRDefault="003E32BC" w:rsidP="00497F2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strategic </w:t>
            </w:r>
            <w:r w:rsidR="00497F2F">
              <w:rPr>
                <w:rFonts w:ascii="Arial" w:hAnsi="Arial" w:cs="Arial"/>
                <w:sz w:val="24"/>
                <w:szCs w:val="24"/>
              </w:rPr>
              <w:t xml:space="preserve">EIA </w:t>
            </w:r>
            <w:r w:rsidR="00497F2F" w:rsidRPr="00934C54">
              <w:rPr>
                <w:rFonts w:ascii="Arial" w:hAnsi="Arial" w:cs="Arial"/>
                <w:sz w:val="24"/>
                <w:szCs w:val="24"/>
              </w:rPr>
              <w:t>is treated as a strategic process</w:t>
            </w:r>
            <w:r w:rsidR="00497F2F">
              <w:rPr>
                <w:rFonts w:ascii="Arial" w:hAnsi="Arial" w:cs="Arial"/>
                <w:sz w:val="24"/>
                <w:szCs w:val="24"/>
              </w:rPr>
              <w:t xml:space="preserve"> and forms an integral part of </w:t>
            </w:r>
            <w:r>
              <w:rPr>
                <w:rFonts w:ascii="Arial" w:hAnsi="Arial" w:cs="Arial"/>
                <w:sz w:val="24"/>
                <w:szCs w:val="24"/>
              </w:rPr>
              <w:t xml:space="preserve">strategy </w:t>
            </w:r>
            <w:r w:rsidR="00497F2F">
              <w:rPr>
                <w:rFonts w:ascii="Arial" w:hAnsi="Arial" w:cs="Arial"/>
                <w:sz w:val="24"/>
                <w:szCs w:val="24"/>
              </w:rPr>
              <w:t>development and decision making on equality</w:t>
            </w:r>
            <w:r w:rsidR="00497F2F" w:rsidRPr="00934C54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97F2F" w:rsidRPr="00934C54" w:rsidRDefault="00497F2F" w:rsidP="00497F2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7A0520">
              <w:rPr>
                <w:rFonts w:ascii="Arial" w:hAnsi="Arial" w:cs="Arial"/>
                <w:b/>
                <w:bCs/>
                <w:sz w:val="24"/>
                <w:szCs w:val="24"/>
              </w:rPr>
              <w:t>Consideration is given to all protected characteristic (PC) groups</w:t>
            </w:r>
            <w:r w:rsidRPr="00934C54">
              <w:rPr>
                <w:rFonts w:ascii="Arial" w:hAnsi="Arial" w:cs="Arial"/>
                <w:sz w:val="24"/>
                <w:szCs w:val="24"/>
              </w:rPr>
              <w:t>, socio- economic</w:t>
            </w:r>
            <w:r w:rsidR="003E32BC">
              <w:rPr>
                <w:rFonts w:ascii="Arial" w:hAnsi="Arial" w:cs="Arial"/>
                <w:sz w:val="24"/>
                <w:szCs w:val="24"/>
              </w:rPr>
              <w:t xml:space="preserve"> status</w:t>
            </w:r>
            <w:r w:rsidR="00515834">
              <w:rPr>
                <w:rFonts w:ascii="Arial" w:hAnsi="Arial" w:cs="Arial"/>
                <w:sz w:val="24"/>
                <w:szCs w:val="24"/>
              </w:rPr>
              <w:t>/Scottish Index of Multiple Deprivation (SIMD)</w:t>
            </w:r>
            <w:r w:rsidR="003E32BC">
              <w:rPr>
                <w:rFonts w:ascii="Arial" w:hAnsi="Arial" w:cs="Arial"/>
                <w:sz w:val="24"/>
                <w:szCs w:val="24"/>
              </w:rPr>
              <w:t xml:space="preserve"> and other relevant groups</w:t>
            </w:r>
            <w:r w:rsidRPr="00934C54">
              <w:rPr>
                <w:rFonts w:ascii="Arial" w:hAnsi="Arial" w:cs="Arial"/>
                <w:sz w:val="24"/>
                <w:szCs w:val="24"/>
              </w:rPr>
              <w:t>. PCs include: Age, disability, gender identity, pregnancy &amp; maternity, sex, sexual orientation, race, religion &amp; belief, marriage &amp; civil partnership (employment</w:t>
            </w:r>
            <w:r>
              <w:rPr>
                <w:rFonts w:ascii="Arial" w:hAnsi="Arial" w:cs="Arial"/>
                <w:sz w:val="24"/>
                <w:szCs w:val="24"/>
              </w:rPr>
              <w:t xml:space="preserve"> matters</w:t>
            </w:r>
            <w:r w:rsidRPr="00934C54">
              <w:rPr>
                <w:rFonts w:ascii="Arial" w:hAnsi="Arial" w:cs="Arial"/>
                <w:sz w:val="24"/>
                <w:szCs w:val="24"/>
              </w:rPr>
              <w:t>).</w:t>
            </w:r>
          </w:p>
          <w:p w:rsidR="00497F2F" w:rsidRPr="007A0520" w:rsidRDefault="00497F2F" w:rsidP="00497F2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0520">
              <w:rPr>
                <w:rFonts w:ascii="Arial" w:hAnsi="Arial" w:cs="Arial"/>
                <w:b/>
                <w:bCs/>
                <w:sz w:val="24"/>
                <w:szCs w:val="24"/>
              </w:rPr>
              <w:t>Consideration and ‘due regard’ is given to the three needs of the general duty which are</w:t>
            </w:r>
            <w:r w:rsidR="00984E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broadly</w:t>
            </w:r>
            <w:r w:rsidRPr="007A05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advancing equality of opportunity; eliminating discrimination &amp; harassment; fostering good relations. </w:t>
            </w:r>
          </w:p>
          <w:p w:rsidR="00497F2F" w:rsidRDefault="00497F2F" w:rsidP="00497F2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934C54">
              <w:rPr>
                <w:rFonts w:ascii="Arial" w:hAnsi="Arial" w:cs="Arial"/>
                <w:sz w:val="24"/>
                <w:szCs w:val="24"/>
              </w:rPr>
              <w:t xml:space="preserve">Decisions are primarily focused on </w:t>
            </w:r>
            <w:r w:rsidRPr="00BD6AE6">
              <w:rPr>
                <w:rFonts w:ascii="Arial" w:hAnsi="Arial" w:cs="Arial"/>
                <w:b/>
                <w:bCs/>
                <w:sz w:val="24"/>
                <w:szCs w:val="24"/>
              </w:rPr>
              <w:t>high level intentions and direction</w:t>
            </w:r>
            <w:r w:rsidRPr="00934C54">
              <w:rPr>
                <w:rFonts w:ascii="Arial" w:hAnsi="Arial" w:cs="Arial"/>
                <w:sz w:val="24"/>
                <w:szCs w:val="24"/>
              </w:rPr>
              <w:t xml:space="preserve"> to be mapped against and mainstreamed into related areas of </w:t>
            </w:r>
            <w:r w:rsidR="000F587E">
              <w:rPr>
                <w:rFonts w:ascii="Arial" w:hAnsi="Arial" w:cs="Arial"/>
                <w:sz w:val="24"/>
                <w:szCs w:val="24"/>
              </w:rPr>
              <w:t>institutional</w:t>
            </w:r>
            <w:r w:rsidR="000F587E" w:rsidRPr="00934C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4C54">
              <w:rPr>
                <w:rFonts w:ascii="Arial" w:hAnsi="Arial" w:cs="Arial"/>
                <w:sz w:val="24"/>
                <w:szCs w:val="24"/>
              </w:rPr>
              <w:t>strategy, policy and practice.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497F2F" w:rsidRDefault="00497F2F" w:rsidP="00497F2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review team</w:t>
            </w:r>
            <w:r w:rsidRPr="00934C54">
              <w:rPr>
                <w:rFonts w:ascii="Arial" w:hAnsi="Arial" w:cs="Arial"/>
                <w:sz w:val="24"/>
                <w:szCs w:val="24"/>
              </w:rPr>
              <w:t xml:space="preserve"> involved in the EIA process have read this guidance, use the guidance in conjunction with the template and have sufficient existing knowledge of the legal background, principles and </w:t>
            </w:r>
            <w:r>
              <w:rPr>
                <w:rFonts w:ascii="Arial" w:hAnsi="Arial" w:cs="Arial"/>
                <w:sz w:val="24"/>
                <w:szCs w:val="24"/>
              </w:rPr>
              <w:t xml:space="preserve">intent </w:t>
            </w:r>
            <w:r w:rsidRPr="00934C54">
              <w:rPr>
                <w:rFonts w:ascii="Arial" w:hAnsi="Arial" w:cs="Arial"/>
                <w:sz w:val="24"/>
                <w:szCs w:val="24"/>
              </w:rPr>
              <w:t xml:space="preserve">of EIA.   </w:t>
            </w:r>
          </w:p>
          <w:p w:rsidR="00497F2F" w:rsidRDefault="00497F2F" w:rsidP="00497F2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Other k</w:t>
            </w:r>
            <w:r w:rsidRPr="00BD6AE6">
              <w:rPr>
                <w:rFonts w:ascii="Arial" w:hAnsi="Arial" w:cs="Arial"/>
                <w:b/>
                <w:sz w:val="24"/>
                <w:szCs w:val="24"/>
              </w:rPr>
              <w:t>ey considerations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497F2F" w:rsidRPr="00666B61" w:rsidRDefault="00497F2F" w:rsidP="00497F2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666B61">
              <w:rPr>
                <w:rFonts w:ascii="Arial" w:hAnsi="Arial" w:cs="Arial"/>
                <w:bCs/>
                <w:sz w:val="24"/>
                <w:szCs w:val="24"/>
              </w:rPr>
              <w:t xml:space="preserve">Prepare in advance of the </w:t>
            </w:r>
            <w:r w:rsidR="00FD4702">
              <w:rPr>
                <w:rFonts w:ascii="Arial" w:hAnsi="Arial" w:cs="Arial"/>
                <w:bCs/>
                <w:sz w:val="24"/>
                <w:szCs w:val="24"/>
              </w:rPr>
              <w:t>strategy development</w:t>
            </w:r>
            <w:r w:rsidR="00FD4702" w:rsidRPr="00666B6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666B61">
              <w:rPr>
                <w:rFonts w:ascii="Arial" w:hAnsi="Arial" w:cs="Arial"/>
                <w:bCs/>
                <w:sz w:val="24"/>
                <w:szCs w:val="24"/>
              </w:rPr>
              <w:t>cycle</w:t>
            </w:r>
            <w:r w:rsidR="00FD4702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Pr="00666B61">
              <w:rPr>
                <w:rFonts w:ascii="Arial" w:hAnsi="Arial" w:cs="Arial"/>
                <w:bCs/>
                <w:sz w:val="24"/>
                <w:szCs w:val="24"/>
              </w:rPr>
              <w:t xml:space="preserve"> review timescale</w:t>
            </w:r>
            <w:r w:rsidR="00FD4702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and allow sufficient time</w:t>
            </w:r>
            <w:r w:rsidRPr="00666B61">
              <w:rPr>
                <w:rFonts w:ascii="Arial" w:hAnsi="Arial" w:cs="Arial"/>
                <w:bCs/>
                <w:sz w:val="24"/>
                <w:szCs w:val="24"/>
              </w:rPr>
              <w:t xml:space="preserve">.  </w:t>
            </w:r>
          </w:p>
          <w:p w:rsidR="00497F2F" w:rsidRPr="00666B61" w:rsidRDefault="00497F2F" w:rsidP="00497F2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666B61">
              <w:rPr>
                <w:rFonts w:ascii="Arial" w:hAnsi="Arial" w:cs="Arial"/>
                <w:bCs/>
                <w:sz w:val="24"/>
                <w:szCs w:val="24"/>
              </w:rPr>
              <w:t>Select and gather a representative team of key internal and external partners.</w:t>
            </w:r>
          </w:p>
          <w:p w:rsidR="00497F2F" w:rsidRPr="00666B61" w:rsidRDefault="00497F2F" w:rsidP="00497F2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666B61">
              <w:rPr>
                <w:rFonts w:ascii="Arial" w:hAnsi="Arial" w:cs="Arial"/>
                <w:bCs/>
                <w:sz w:val="24"/>
                <w:szCs w:val="24"/>
              </w:rPr>
              <w:t xml:space="preserve">Gather all relevant </w:t>
            </w:r>
            <w:r>
              <w:rPr>
                <w:rFonts w:ascii="Arial" w:hAnsi="Arial" w:cs="Arial"/>
                <w:bCs/>
                <w:sz w:val="24"/>
                <w:szCs w:val="24"/>
              </w:rPr>
              <w:t>d</w:t>
            </w:r>
            <w:r w:rsidRPr="00666B61">
              <w:rPr>
                <w:rFonts w:ascii="Arial" w:hAnsi="Arial" w:cs="Arial"/>
                <w:bCs/>
                <w:sz w:val="24"/>
                <w:szCs w:val="24"/>
              </w:rPr>
              <w:t>ata and evidence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</w:p>
          <w:p w:rsidR="00497F2F" w:rsidRDefault="00497F2F" w:rsidP="00497F2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Identify and m</w:t>
            </w:r>
            <w:r w:rsidRPr="00666B61">
              <w:rPr>
                <w:rFonts w:ascii="Arial" w:hAnsi="Arial" w:cs="Arial"/>
                <w:bCs/>
                <w:sz w:val="24"/>
                <w:szCs w:val="24"/>
              </w:rPr>
              <w:t xml:space="preserve">ap the relevant institutional strategies and policies that link to all areas of </w:t>
            </w:r>
            <w:r w:rsidR="00FD4702">
              <w:rPr>
                <w:rFonts w:ascii="Arial" w:hAnsi="Arial" w:cs="Arial"/>
                <w:bCs/>
                <w:sz w:val="24"/>
                <w:szCs w:val="24"/>
              </w:rPr>
              <w:t>the strategy and related equality</w:t>
            </w:r>
            <w:r w:rsidRPr="00666B61">
              <w:rPr>
                <w:rFonts w:ascii="Arial" w:hAnsi="Arial" w:cs="Arial"/>
                <w:bCs/>
                <w:sz w:val="24"/>
                <w:szCs w:val="24"/>
              </w:rPr>
              <w:t xml:space="preserve"> activity, including the institution’s equality strategy, equality outcomes and PSED reporting. </w:t>
            </w:r>
          </w:p>
          <w:p w:rsidR="00497F2F" w:rsidRDefault="00497F2F" w:rsidP="00497F2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Ensure that decisions, rationale and accountability for action are clear and recorded. </w:t>
            </w:r>
          </w:p>
          <w:p w:rsidR="00497F2F" w:rsidRPr="00666B61" w:rsidRDefault="00497F2F" w:rsidP="00497F2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Ensure there is a clear process in place to support ongoing monitoring, evaluation and review. </w:t>
            </w:r>
          </w:p>
          <w:p w:rsidR="00497F2F" w:rsidRPr="00EF0523" w:rsidRDefault="00497F2F" w:rsidP="00497F2F">
            <w:pPr>
              <w:rPr>
                <w:rFonts w:ascii="Arial" w:hAnsi="Arial" w:cs="Arial"/>
                <w:sz w:val="24"/>
                <w:szCs w:val="24"/>
              </w:rPr>
            </w:pPr>
          </w:p>
          <w:p w:rsidR="00497F2F" w:rsidRDefault="00497F2F" w:rsidP="00497F2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This template should also be used in conjunction with:</w:t>
            </w:r>
          </w:p>
          <w:p w:rsidR="00497F2F" w:rsidRPr="00BD6AE6" w:rsidRDefault="00515834" w:rsidP="00497F2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="00CB1BFC">
                <w:rPr>
                  <w:rStyle w:val="Hyperlink"/>
                  <w:rFonts w:ascii="Arial" w:hAnsi="Arial" w:cs="Arial"/>
                  <w:sz w:val="24"/>
                  <w:szCs w:val="24"/>
                </w:rPr>
                <w:t>Advance HE 2019 Guidance Checklist of Good Practice Principle</w:t>
              </w:r>
              <w:r w:rsidR="00CB1BFC">
                <w:rPr>
                  <w:rStyle w:val="Hyperlink"/>
                  <w:rFonts w:ascii="Arial" w:hAnsi="Arial" w:cs="Arial"/>
                  <w:sz w:val="24"/>
                  <w:szCs w:val="24"/>
                </w:rPr>
                <w:t>s</w:t>
              </w:r>
              <w:r w:rsidR="00CB1BFC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 for EIA</w:t>
              </w:r>
            </w:hyperlink>
            <w:r w:rsidR="00497F2F" w:rsidRPr="00BD6AE6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97F2F" w:rsidRPr="00CB1BFC" w:rsidRDefault="00CB1BFC" w:rsidP="00CB1BFC">
            <w:pPr>
              <w:pStyle w:val="ListParagraph"/>
              <w:numPr>
                <w:ilvl w:val="0"/>
                <w:numId w:val="2"/>
              </w:numPr>
              <w:rPr>
                <w:rStyle w:val="Hyperlink"/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DE2E04">
              <w:rPr>
                <w:rFonts w:ascii="Arial" w:hAnsi="Arial" w:cs="Arial"/>
                <w:sz w:val="24"/>
                <w:szCs w:val="24"/>
              </w:rPr>
              <w:instrText>HYPERLINK "https://www.advance-he.ac.uk/sites/default/files/2020-04/Process%20Map%20for%20Conducting%20Strategic%20Equality%20Impact%20Assessment%20April%202020_0.pdf"</w:instrText>
            </w:r>
            <w:r w:rsidR="00DE2E04"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B1BFC">
              <w:rPr>
                <w:rStyle w:val="Hyperlink"/>
                <w:rFonts w:ascii="Arial" w:hAnsi="Arial" w:cs="Arial"/>
                <w:sz w:val="24"/>
                <w:szCs w:val="24"/>
              </w:rPr>
              <w:t>Advance HE Process Map for Conducting Strategic Equality Impact Assessment</w:t>
            </w:r>
          </w:p>
          <w:p w:rsidR="00CB1BFC" w:rsidRPr="00CB1BFC" w:rsidRDefault="00CB1BFC" w:rsidP="004A3757">
            <w:r>
              <w:fldChar w:fldCharType="end"/>
            </w:r>
            <w:bookmarkStart w:id="0" w:name="_GoBack"/>
            <w:bookmarkEnd w:id="0"/>
            <w:r w:rsidR="004A3757" w:rsidRPr="00CB1BFC">
              <w:t xml:space="preserve"> </w:t>
            </w:r>
          </w:p>
        </w:tc>
      </w:tr>
    </w:tbl>
    <w:p w:rsidR="00497F2F" w:rsidRDefault="00497F2F" w:rsidP="00497F2F">
      <w:pPr>
        <w:ind w:hanging="567"/>
        <w:rPr>
          <w:rFonts w:ascii="Arial" w:hAnsi="Arial" w:cs="Arial"/>
          <w:b/>
          <w:bCs/>
          <w:sz w:val="28"/>
          <w:szCs w:val="28"/>
        </w:rPr>
      </w:pPr>
    </w:p>
    <w:p w:rsidR="00497F2F" w:rsidRPr="00C40390" w:rsidRDefault="00497F2F" w:rsidP="00497F2F">
      <w:pPr>
        <w:ind w:hanging="567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AHE Optional </w:t>
      </w:r>
      <w:r w:rsidRPr="00C40390">
        <w:rPr>
          <w:rFonts w:ascii="Arial" w:hAnsi="Arial" w:cs="Arial"/>
          <w:b/>
          <w:bCs/>
          <w:sz w:val="28"/>
          <w:szCs w:val="28"/>
        </w:rPr>
        <w:t>Template for undertaking strategic EIA.</w:t>
      </w:r>
    </w:p>
    <w:tbl>
      <w:tblPr>
        <w:tblStyle w:val="TableGrid"/>
        <w:tblW w:w="14601" w:type="dxa"/>
        <w:tblInd w:w="-572" w:type="dxa"/>
        <w:tblLook w:val="04A0" w:firstRow="1" w:lastRow="0" w:firstColumn="1" w:lastColumn="0" w:noHBand="0" w:noVBand="1"/>
      </w:tblPr>
      <w:tblGrid>
        <w:gridCol w:w="3487"/>
        <w:gridCol w:w="5018"/>
        <w:gridCol w:w="6096"/>
      </w:tblGrid>
      <w:tr w:rsidR="00141CF8" w:rsidTr="00141CF8">
        <w:tc>
          <w:tcPr>
            <w:tcW w:w="14601" w:type="dxa"/>
            <w:gridSpan w:val="3"/>
          </w:tcPr>
          <w:p w:rsidR="00141CF8" w:rsidRDefault="00141CF8" w:rsidP="00141CF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Strategic Equality Priorities</w:t>
            </w:r>
          </w:p>
          <w:p w:rsidR="00141CF8" w:rsidRDefault="00141CF8" w:rsidP="00141C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41CF8" w:rsidRDefault="00141CF8" w:rsidP="00141C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41CF8" w:rsidRDefault="00141CF8" w:rsidP="00141C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41CF8" w:rsidRDefault="00141CF8" w:rsidP="00141C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41CF8" w:rsidRDefault="00141CF8" w:rsidP="00141C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41CF8" w:rsidRDefault="00141CF8" w:rsidP="00141C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41CF8" w:rsidRDefault="00141CF8" w:rsidP="00141C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41CF8" w:rsidRDefault="00141CF8" w:rsidP="00141C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41CF8" w:rsidRDefault="00141CF8" w:rsidP="00141C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41CF8" w:rsidRDefault="00141CF8" w:rsidP="00141C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41CF8" w:rsidRDefault="00141CF8" w:rsidP="00141C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41CF8" w:rsidRDefault="00141CF8" w:rsidP="00141C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41CF8" w:rsidRDefault="00141CF8" w:rsidP="00141C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41CF8" w:rsidRDefault="00141CF8" w:rsidP="00141CF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497F2F" w:rsidTr="00141CF8">
        <w:tc>
          <w:tcPr>
            <w:tcW w:w="14601" w:type="dxa"/>
            <w:gridSpan w:val="3"/>
          </w:tcPr>
          <w:p w:rsidR="00497F2F" w:rsidRDefault="00497F2F" w:rsidP="00141C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97F2F" w:rsidRPr="00942366" w:rsidRDefault="00497F2F" w:rsidP="00141CF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2366">
              <w:rPr>
                <w:rFonts w:ascii="Arial" w:hAnsi="Arial" w:cs="Arial"/>
                <w:b/>
                <w:sz w:val="24"/>
                <w:szCs w:val="24"/>
              </w:rPr>
              <w:t xml:space="preserve">Area of activity:  </w:t>
            </w:r>
          </w:p>
          <w:p w:rsidR="00497F2F" w:rsidRDefault="00497F2F" w:rsidP="00141CF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2366">
              <w:rPr>
                <w:rFonts w:ascii="Arial" w:hAnsi="Arial" w:cs="Arial"/>
                <w:b/>
                <w:sz w:val="24"/>
                <w:szCs w:val="24"/>
              </w:rPr>
              <w:t>Current approach and strategy – what</w:t>
            </w:r>
            <w:r w:rsidR="002D6E55">
              <w:rPr>
                <w:rFonts w:ascii="Arial" w:hAnsi="Arial" w:cs="Arial"/>
                <w:b/>
                <w:sz w:val="24"/>
                <w:szCs w:val="24"/>
              </w:rPr>
              <w:t xml:space="preserve"> are the key issues</w:t>
            </w:r>
            <w:r w:rsidRPr="00942366">
              <w:rPr>
                <w:rFonts w:ascii="Arial" w:hAnsi="Arial" w:cs="Arial"/>
                <w:b/>
                <w:sz w:val="24"/>
                <w:szCs w:val="24"/>
              </w:rPr>
              <w:t xml:space="preserve"> we need to think about?</w:t>
            </w:r>
          </w:p>
          <w:p w:rsidR="00141CF8" w:rsidRDefault="00141CF8" w:rsidP="00141C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41CF8" w:rsidRDefault="00141CF8" w:rsidP="00141C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41CF8" w:rsidRDefault="00141CF8" w:rsidP="00141C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41CF8" w:rsidRDefault="00141CF8" w:rsidP="00141C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41CF8" w:rsidRDefault="00141CF8" w:rsidP="00141C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41CF8" w:rsidRDefault="00141CF8" w:rsidP="00141C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41CF8" w:rsidRDefault="00141CF8" w:rsidP="00141C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41CF8" w:rsidRDefault="00141CF8" w:rsidP="00141C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41CF8" w:rsidRDefault="00141CF8" w:rsidP="00141C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97F2F" w:rsidRDefault="00497F2F" w:rsidP="00141C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97F2F" w:rsidTr="00141CF8">
        <w:tc>
          <w:tcPr>
            <w:tcW w:w="3487" w:type="dxa"/>
          </w:tcPr>
          <w:p w:rsidR="00497F2F" w:rsidRDefault="00497F2F" w:rsidP="00141CF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PCs (&amp; other groupings)</w:t>
            </w:r>
          </w:p>
        </w:tc>
        <w:tc>
          <w:tcPr>
            <w:tcW w:w="5018" w:type="dxa"/>
          </w:tcPr>
          <w:p w:rsidR="00497F2F" w:rsidRPr="00BF2EA7" w:rsidRDefault="00497F2F" w:rsidP="00141CF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EA7">
              <w:rPr>
                <w:rFonts w:ascii="Arial" w:hAnsi="Arial" w:cs="Arial"/>
                <w:b/>
                <w:sz w:val="24"/>
                <w:szCs w:val="24"/>
              </w:rPr>
              <w:t>Evidence linked to impact, high level risks and opportunities.</w:t>
            </w:r>
          </w:p>
          <w:p w:rsidR="00497F2F" w:rsidRDefault="00497F2F" w:rsidP="00141C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96" w:type="dxa"/>
          </w:tcPr>
          <w:p w:rsidR="00497F2F" w:rsidRDefault="002D6E55" w:rsidP="002D6E5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Overall a</w:t>
            </w:r>
            <w:r w:rsidR="00141CF8">
              <w:rPr>
                <w:rFonts w:ascii="Arial" w:hAnsi="Arial" w:cs="Arial"/>
                <w:b/>
                <w:sz w:val="24"/>
                <w:szCs w:val="24"/>
              </w:rPr>
              <w:t>ssessment, d</w:t>
            </w:r>
            <w:r w:rsidR="00497F2F">
              <w:rPr>
                <w:rFonts w:ascii="Arial" w:hAnsi="Arial" w:cs="Arial"/>
                <w:b/>
                <w:sz w:val="24"/>
                <w:szCs w:val="24"/>
              </w:rPr>
              <w:t>ecisions, rationale and actions.</w:t>
            </w:r>
          </w:p>
        </w:tc>
      </w:tr>
      <w:tr w:rsidR="00497F2F" w:rsidTr="00141CF8">
        <w:tc>
          <w:tcPr>
            <w:tcW w:w="3487" w:type="dxa"/>
          </w:tcPr>
          <w:p w:rsidR="00497F2F" w:rsidRDefault="00497F2F" w:rsidP="00141C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97F2F" w:rsidRDefault="00497F2F" w:rsidP="00141CF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Age</w:t>
            </w:r>
          </w:p>
          <w:p w:rsidR="00497F2F" w:rsidRDefault="00497F2F" w:rsidP="00141C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18" w:type="dxa"/>
          </w:tcPr>
          <w:p w:rsidR="00497F2F" w:rsidRDefault="00497F2F" w:rsidP="00141C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96" w:type="dxa"/>
          </w:tcPr>
          <w:p w:rsidR="00497F2F" w:rsidRDefault="00497F2F" w:rsidP="00141C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97F2F" w:rsidTr="00141CF8">
        <w:tc>
          <w:tcPr>
            <w:tcW w:w="3487" w:type="dxa"/>
          </w:tcPr>
          <w:p w:rsidR="00497F2F" w:rsidRDefault="00497F2F" w:rsidP="00141C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97F2F" w:rsidRDefault="00497F2F" w:rsidP="00141CF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Disability </w:t>
            </w:r>
          </w:p>
        </w:tc>
        <w:tc>
          <w:tcPr>
            <w:tcW w:w="5018" w:type="dxa"/>
          </w:tcPr>
          <w:p w:rsidR="00497F2F" w:rsidRDefault="00497F2F" w:rsidP="00141C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96" w:type="dxa"/>
          </w:tcPr>
          <w:p w:rsidR="00497F2F" w:rsidRDefault="00497F2F" w:rsidP="00141C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97F2F" w:rsidTr="00141CF8">
        <w:tc>
          <w:tcPr>
            <w:tcW w:w="3487" w:type="dxa"/>
          </w:tcPr>
          <w:p w:rsidR="00497F2F" w:rsidRDefault="00497F2F" w:rsidP="00141C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97F2F" w:rsidRDefault="00497F2F" w:rsidP="00141CF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Gender identity </w:t>
            </w:r>
            <w:r w:rsidRPr="005D1FB9">
              <w:rPr>
                <w:rFonts w:ascii="Arial" w:hAnsi="Arial" w:cs="Arial"/>
                <w:bCs/>
                <w:sz w:val="24"/>
                <w:szCs w:val="24"/>
              </w:rPr>
              <w:t>(transgender &amp; non- binary)</w:t>
            </w:r>
          </w:p>
        </w:tc>
        <w:tc>
          <w:tcPr>
            <w:tcW w:w="5018" w:type="dxa"/>
          </w:tcPr>
          <w:p w:rsidR="00497F2F" w:rsidRDefault="00497F2F" w:rsidP="00141C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96" w:type="dxa"/>
          </w:tcPr>
          <w:p w:rsidR="00497F2F" w:rsidRDefault="00497F2F" w:rsidP="00141C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97F2F" w:rsidTr="00141CF8">
        <w:tc>
          <w:tcPr>
            <w:tcW w:w="3487" w:type="dxa"/>
          </w:tcPr>
          <w:p w:rsidR="00497F2F" w:rsidRDefault="00497F2F" w:rsidP="00141C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97F2F" w:rsidRDefault="00497F2F" w:rsidP="00141CF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Pregnancy &amp; maternity</w:t>
            </w:r>
          </w:p>
        </w:tc>
        <w:tc>
          <w:tcPr>
            <w:tcW w:w="5018" w:type="dxa"/>
          </w:tcPr>
          <w:p w:rsidR="00497F2F" w:rsidRDefault="00497F2F" w:rsidP="00141C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96" w:type="dxa"/>
          </w:tcPr>
          <w:p w:rsidR="00497F2F" w:rsidRDefault="00497F2F" w:rsidP="00141C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97F2F" w:rsidTr="00141CF8">
        <w:tc>
          <w:tcPr>
            <w:tcW w:w="3487" w:type="dxa"/>
          </w:tcPr>
          <w:p w:rsidR="00497F2F" w:rsidRDefault="00497F2F" w:rsidP="00141C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97F2F" w:rsidRDefault="00497F2F" w:rsidP="00141CF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Sex </w:t>
            </w:r>
            <w:r w:rsidRPr="005D1FB9">
              <w:rPr>
                <w:rFonts w:ascii="Arial" w:hAnsi="Arial" w:cs="Arial"/>
                <w:bCs/>
                <w:sz w:val="24"/>
                <w:szCs w:val="24"/>
              </w:rPr>
              <w:t>(men &amp; women)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018" w:type="dxa"/>
          </w:tcPr>
          <w:p w:rsidR="00497F2F" w:rsidRDefault="00497F2F" w:rsidP="00141C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96" w:type="dxa"/>
          </w:tcPr>
          <w:p w:rsidR="00497F2F" w:rsidRDefault="00497F2F" w:rsidP="00141C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97F2F" w:rsidTr="00141CF8">
        <w:tc>
          <w:tcPr>
            <w:tcW w:w="3487" w:type="dxa"/>
          </w:tcPr>
          <w:p w:rsidR="00497F2F" w:rsidRDefault="00497F2F" w:rsidP="00141C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97F2F" w:rsidRDefault="00497F2F" w:rsidP="00141CF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Sexual orientation</w:t>
            </w:r>
          </w:p>
        </w:tc>
        <w:tc>
          <w:tcPr>
            <w:tcW w:w="5018" w:type="dxa"/>
          </w:tcPr>
          <w:p w:rsidR="00497F2F" w:rsidRDefault="00497F2F" w:rsidP="00141C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96" w:type="dxa"/>
          </w:tcPr>
          <w:p w:rsidR="00497F2F" w:rsidRDefault="00497F2F" w:rsidP="00141C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97F2F" w:rsidTr="00141CF8">
        <w:tc>
          <w:tcPr>
            <w:tcW w:w="3487" w:type="dxa"/>
          </w:tcPr>
          <w:p w:rsidR="00497F2F" w:rsidRDefault="00497F2F" w:rsidP="00141C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97F2F" w:rsidRDefault="00497F2F" w:rsidP="00141CF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Race</w:t>
            </w:r>
          </w:p>
          <w:p w:rsidR="00497F2F" w:rsidRDefault="00497F2F" w:rsidP="00141C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18" w:type="dxa"/>
          </w:tcPr>
          <w:p w:rsidR="00497F2F" w:rsidRDefault="00497F2F" w:rsidP="00141C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96" w:type="dxa"/>
          </w:tcPr>
          <w:p w:rsidR="00497F2F" w:rsidRDefault="00497F2F" w:rsidP="00141C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97F2F" w:rsidTr="00141CF8">
        <w:tc>
          <w:tcPr>
            <w:tcW w:w="3487" w:type="dxa"/>
          </w:tcPr>
          <w:p w:rsidR="00497F2F" w:rsidRDefault="00497F2F" w:rsidP="00141C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97F2F" w:rsidRDefault="00497F2F" w:rsidP="00141CF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Religion or belief</w:t>
            </w:r>
          </w:p>
          <w:p w:rsidR="00497F2F" w:rsidRDefault="00497F2F" w:rsidP="00141C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18" w:type="dxa"/>
          </w:tcPr>
          <w:p w:rsidR="00497F2F" w:rsidRDefault="00497F2F" w:rsidP="00141C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96" w:type="dxa"/>
          </w:tcPr>
          <w:p w:rsidR="00497F2F" w:rsidRDefault="00497F2F" w:rsidP="00141C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97F2F" w:rsidTr="00141CF8">
        <w:tc>
          <w:tcPr>
            <w:tcW w:w="3487" w:type="dxa"/>
          </w:tcPr>
          <w:p w:rsidR="00497F2F" w:rsidRDefault="00497F2F" w:rsidP="00141C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97F2F" w:rsidRDefault="00497F2F" w:rsidP="00141CF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Marriage &amp; civil partnership </w:t>
            </w:r>
            <w:r w:rsidRPr="005D1FB9">
              <w:rPr>
                <w:rFonts w:ascii="Arial" w:hAnsi="Arial" w:cs="Arial"/>
                <w:bCs/>
                <w:sz w:val="24"/>
                <w:szCs w:val="24"/>
              </w:rPr>
              <w:t>(employment matters)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497F2F" w:rsidRDefault="00497F2F" w:rsidP="00141C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18" w:type="dxa"/>
          </w:tcPr>
          <w:p w:rsidR="00497F2F" w:rsidRDefault="00497F2F" w:rsidP="00141C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96" w:type="dxa"/>
          </w:tcPr>
          <w:p w:rsidR="00497F2F" w:rsidRDefault="00497F2F" w:rsidP="00141C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97F2F" w:rsidTr="00141CF8">
        <w:tc>
          <w:tcPr>
            <w:tcW w:w="3487" w:type="dxa"/>
          </w:tcPr>
          <w:p w:rsidR="00497F2F" w:rsidRDefault="00497F2F" w:rsidP="00141C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97F2F" w:rsidRDefault="00497F2F" w:rsidP="00141CF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Other groups </w:t>
            </w:r>
            <w:r w:rsidRPr="00AE6FD3">
              <w:rPr>
                <w:rFonts w:ascii="Arial" w:hAnsi="Arial" w:cs="Arial"/>
                <w:bCs/>
                <w:sz w:val="24"/>
                <w:szCs w:val="24"/>
              </w:rPr>
              <w:t xml:space="preserve">e.g. care experience, SIMD status, carer status </w:t>
            </w:r>
            <w:r w:rsidR="00EC1E82" w:rsidRPr="00AE6FD3">
              <w:rPr>
                <w:rFonts w:ascii="Arial" w:hAnsi="Arial" w:cs="Arial"/>
                <w:bCs/>
                <w:sz w:val="24"/>
                <w:szCs w:val="24"/>
              </w:rPr>
              <w:t>etc.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497F2F" w:rsidRDefault="00497F2F" w:rsidP="00141C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18" w:type="dxa"/>
          </w:tcPr>
          <w:p w:rsidR="00497F2F" w:rsidRDefault="00497F2F" w:rsidP="00141C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96" w:type="dxa"/>
          </w:tcPr>
          <w:p w:rsidR="00497F2F" w:rsidRDefault="00497F2F" w:rsidP="00141C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97F2F" w:rsidTr="00141CF8">
        <w:tc>
          <w:tcPr>
            <w:tcW w:w="14601" w:type="dxa"/>
            <w:gridSpan w:val="3"/>
          </w:tcPr>
          <w:p w:rsidR="00497F2F" w:rsidRPr="00C40390" w:rsidRDefault="00497F2F" w:rsidP="00141CF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2366">
              <w:rPr>
                <w:rFonts w:ascii="Arial" w:hAnsi="Arial" w:cs="Arial"/>
                <w:b/>
                <w:sz w:val="24"/>
                <w:szCs w:val="24"/>
              </w:rPr>
              <w:t>Summary of actions, timescales and accountability:</w:t>
            </w:r>
            <w:r w:rsidRPr="00C4039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497F2F" w:rsidRDefault="00497F2F" w:rsidP="00141C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97F2F" w:rsidRDefault="00497F2F" w:rsidP="00141C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97F2F" w:rsidTr="00141CF8">
        <w:tc>
          <w:tcPr>
            <w:tcW w:w="14601" w:type="dxa"/>
            <w:gridSpan w:val="3"/>
          </w:tcPr>
          <w:p w:rsidR="00497F2F" w:rsidRDefault="00497F2F" w:rsidP="00141CF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2366">
              <w:rPr>
                <w:rFonts w:ascii="Arial" w:hAnsi="Arial" w:cs="Arial"/>
                <w:b/>
                <w:sz w:val="24"/>
                <w:szCs w:val="24"/>
              </w:rPr>
              <w:lastRenderedPageBreak/>
              <w:t>Monitoring &amp; review:</w:t>
            </w:r>
          </w:p>
          <w:p w:rsidR="00497F2F" w:rsidRDefault="00497F2F" w:rsidP="00141CF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E2393">
              <w:rPr>
                <w:rFonts w:ascii="Arial" w:hAnsi="Arial" w:cs="Arial"/>
                <w:bCs/>
                <w:sz w:val="24"/>
                <w:szCs w:val="24"/>
              </w:rPr>
              <w:t xml:space="preserve">Ensure the actions from this EIA are embedded and integrated into all relevant strategy, policy and activity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by regularly reviewing progress with actions through ongoing strategic and operational review including Boards, Senior Management Teams, Executive Committees, Equality &amp; Diversity Committees, Learning &amp; Teaching Committees, Departmental and School Review Meetings etc.   </w:t>
            </w:r>
          </w:p>
          <w:p w:rsidR="00497F2F" w:rsidRDefault="00497F2F" w:rsidP="00141CF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97F2F" w:rsidRDefault="00497F2F" w:rsidP="00141CF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Ensure that data, actions and monitoring from other relevant EIAs are also referenced and linked as part of the monitoring and review process.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497F2F" w:rsidRDefault="00497F2F" w:rsidP="00141C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97F2F" w:rsidRDefault="00497F2F" w:rsidP="00141C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141CF8" w:rsidRDefault="00141CF8">
      <w:pPr>
        <w:rPr>
          <w:rFonts w:ascii="Arial" w:hAnsi="Arial" w:cs="Arial"/>
          <w:b/>
          <w:sz w:val="28"/>
          <w:szCs w:val="28"/>
          <w:highlight w:val="lightGray"/>
        </w:rPr>
      </w:pPr>
    </w:p>
    <w:p w:rsidR="006B19A9" w:rsidRDefault="006B19A9" w:rsidP="005D1FB9">
      <w:pPr>
        <w:ind w:hanging="567"/>
        <w:rPr>
          <w:rFonts w:ascii="Arial" w:hAnsi="Arial" w:cs="Arial"/>
          <w:b/>
          <w:bCs/>
          <w:sz w:val="28"/>
          <w:szCs w:val="28"/>
        </w:rPr>
      </w:pPr>
    </w:p>
    <w:sectPr w:rsidR="006B19A9" w:rsidSect="00EF0523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757" w:rsidRDefault="004A3757" w:rsidP="004A3757">
      <w:pPr>
        <w:spacing w:after="0" w:line="240" w:lineRule="auto"/>
      </w:pPr>
      <w:r>
        <w:separator/>
      </w:r>
    </w:p>
  </w:endnote>
  <w:endnote w:type="continuationSeparator" w:id="0">
    <w:p w:rsidR="004A3757" w:rsidRDefault="004A3757" w:rsidP="004A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757" w:rsidRPr="004A3757" w:rsidRDefault="004A3757">
    <w:pPr>
      <w:pStyle w:val="Footer"/>
      <w:rPr>
        <w:rFonts w:ascii="Arial" w:hAnsi="Arial" w:cs="Arial"/>
      </w:rPr>
    </w:pPr>
    <w:r w:rsidRPr="004A3757">
      <w:rPr>
        <w:rFonts w:ascii="Arial" w:hAnsi="Arial" w:cs="Arial"/>
        <w:b/>
      </w:rPr>
      <w:t xml:space="preserve">© Advance HE 2020                                                                                                                           </w:t>
    </w:r>
    <w:r>
      <w:rPr>
        <w:rFonts w:ascii="Arial" w:hAnsi="Arial" w:cs="Arial"/>
        <w:b/>
      </w:rPr>
      <w:t xml:space="preserve">         </w:t>
    </w:r>
    <w:hyperlink r:id="rId1" w:history="1">
      <w:r w:rsidRPr="004A3757">
        <w:rPr>
          <w:rStyle w:val="Hyperlink"/>
          <w:rFonts w:ascii="Arial" w:hAnsi="Arial" w:cs="Arial"/>
          <w:b/>
          <w:color w:val="auto"/>
          <w:u w:val="none"/>
        </w:rPr>
        <w:t>www.advance-he.ac.uk/strategic-EIA</w:t>
      </w:r>
    </w:hyperlink>
    <w:r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757" w:rsidRDefault="004A3757" w:rsidP="004A3757">
      <w:pPr>
        <w:spacing w:after="0" w:line="240" w:lineRule="auto"/>
      </w:pPr>
      <w:r>
        <w:separator/>
      </w:r>
    </w:p>
  </w:footnote>
  <w:footnote w:type="continuationSeparator" w:id="0">
    <w:p w:rsidR="004A3757" w:rsidRDefault="004A3757" w:rsidP="004A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757" w:rsidRDefault="004A375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7400290</wp:posOffset>
          </wp:positionH>
          <wp:positionV relativeFrom="paragraph">
            <wp:posOffset>378460</wp:posOffset>
          </wp:positionV>
          <wp:extent cx="2095500" cy="629285"/>
          <wp:effectExtent l="0" t="0" r="0" b="0"/>
          <wp:wrapTight wrapText="bothSides">
            <wp:wrapPolygon edited="0">
              <wp:start x="0" y="0"/>
              <wp:lineTo x="0" y="20924"/>
              <wp:lineTo x="21404" y="20924"/>
              <wp:lineTo x="21404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FC logo high r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0" cy="629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7277100</wp:posOffset>
          </wp:positionH>
          <wp:positionV relativeFrom="paragraph">
            <wp:posOffset>-116205</wp:posOffset>
          </wp:positionV>
          <wp:extent cx="2078355" cy="291465"/>
          <wp:effectExtent l="0" t="0" r="0" b="0"/>
          <wp:wrapTight wrapText="bothSides">
            <wp:wrapPolygon edited="0">
              <wp:start x="0" y="0"/>
              <wp:lineTo x="0" y="19765"/>
              <wp:lineTo x="21382" y="19765"/>
              <wp:lineTo x="2138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dvanceHE_colour larg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8355" cy="291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B4B52"/>
    <w:multiLevelType w:val="hybridMultilevel"/>
    <w:tmpl w:val="8BE0A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27A2B"/>
    <w:multiLevelType w:val="hybridMultilevel"/>
    <w:tmpl w:val="C2E0BB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D0454"/>
    <w:multiLevelType w:val="hybridMultilevel"/>
    <w:tmpl w:val="7DFA8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716FC"/>
    <w:multiLevelType w:val="hybridMultilevel"/>
    <w:tmpl w:val="CE5E7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C1AF5"/>
    <w:multiLevelType w:val="hybridMultilevel"/>
    <w:tmpl w:val="A9362D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512BE"/>
    <w:multiLevelType w:val="hybridMultilevel"/>
    <w:tmpl w:val="729EB9F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875040"/>
    <w:multiLevelType w:val="hybridMultilevel"/>
    <w:tmpl w:val="89D8C3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1205E7"/>
    <w:multiLevelType w:val="hybridMultilevel"/>
    <w:tmpl w:val="60E814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90364D"/>
    <w:multiLevelType w:val="hybridMultilevel"/>
    <w:tmpl w:val="06D8D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B1EFE"/>
    <w:multiLevelType w:val="hybridMultilevel"/>
    <w:tmpl w:val="38B00BD6"/>
    <w:lvl w:ilvl="0" w:tplc="08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0" w15:restartNumberingAfterBreak="0">
    <w:nsid w:val="65D6090D"/>
    <w:multiLevelType w:val="hybridMultilevel"/>
    <w:tmpl w:val="82324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C3198"/>
    <w:multiLevelType w:val="hybridMultilevel"/>
    <w:tmpl w:val="8D52FE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047BE1"/>
    <w:multiLevelType w:val="hybridMultilevel"/>
    <w:tmpl w:val="713A2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E27ECA"/>
    <w:multiLevelType w:val="hybridMultilevel"/>
    <w:tmpl w:val="DBD07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992E9C"/>
    <w:multiLevelType w:val="hybridMultilevel"/>
    <w:tmpl w:val="84E81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BF0368"/>
    <w:multiLevelType w:val="hybridMultilevel"/>
    <w:tmpl w:val="C40EF4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182D70"/>
    <w:multiLevelType w:val="hybridMultilevel"/>
    <w:tmpl w:val="CC323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5013CD"/>
    <w:multiLevelType w:val="hybridMultilevel"/>
    <w:tmpl w:val="95185B62"/>
    <w:lvl w:ilvl="0" w:tplc="08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5"/>
  </w:num>
  <w:num w:numId="4">
    <w:abstractNumId w:val="2"/>
  </w:num>
  <w:num w:numId="5">
    <w:abstractNumId w:val="12"/>
  </w:num>
  <w:num w:numId="6">
    <w:abstractNumId w:val="0"/>
  </w:num>
  <w:num w:numId="7">
    <w:abstractNumId w:val="8"/>
  </w:num>
  <w:num w:numId="8">
    <w:abstractNumId w:val="11"/>
  </w:num>
  <w:num w:numId="9">
    <w:abstractNumId w:val="7"/>
  </w:num>
  <w:num w:numId="10">
    <w:abstractNumId w:val="4"/>
  </w:num>
  <w:num w:numId="11">
    <w:abstractNumId w:val="15"/>
  </w:num>
  <w:num w:numId="12">
    <w:abstractNumId w:val="1"/>
  </w:num>
  <w:num w:numId="13">
    <w:abstractNumId w:val="6"/>
  </w:num>
  <w:num w:numId="14">
    <w:abstractNumId w:val="3"/>
  </w:num>
  <w:num w:numId="15">
    <w:abstractNumId w:val="10"/>
  </w:num>
  <w:num w:numId="16">
    <w:abstractNumId w:val="16"/>
  </w:num>
  <w:num w:numId="17">
    <w:abstractNumId w:val="9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523"/>
    <w:rsid w:val="00040DD2"/>
    <w:rsid w:val="00062404"/>
    <w:rsid w:val="00065D9F"/>
    <w:rsid w:val="00066333"/>
    <w:rsid w:val="000A7BC6"/>
    <w:rsid w:val="000B5BF2"/>
    <w:rsid w:val="000F587E"/>
    <w:rsid w:val="00107546"/>
    <w:rsid w:val="00123A9F"/>
    <w:rsid w:val="00141CF8"/>
    <w:rsid w:val="001728D8"/>
    <w:rsid w:val="0017614E"/>
    <w:rsid w:val="001F3D1D"/>
    <w:rsid w:val="0025140F"/>
    <w:rsid w:val="00280DE0"/>
    <w:rsid w:val="002D6E55"/>
    <w:rsid w:val="00323E4A"/>
    <w:rsid w:val="00366970"/>
    <w:rsid w:val="003B5E9D"/>
    <w:rsid w:val="003E32BC"/>
    <w:rsid w:val="0042741D"/>
    <w:rsid w:val="00476EA8"/>
    <w:rsid w:val="00497F2F"/>
    <w:rsid w:val="004A3757"/>
    <w:rsid w:val="004D60D1"/>
    <w:rsid w:val="004F2266"/>
    <w:rsid w:val="004F5D76"/>
    <w:rsid w:val="00515834"/>
    <w:rsid w:val="005A24C6"/>
    <w:rsid w:val="005D1FB9"/>
    <w:rsid w:val="0062331E"/>
    <w:rsid w:val="006B19A9"/>
    <w:rsid w:val="006E5A09"/>
    <w:rsid w:val="00711213"/>
    <w:rsid w:val="00712EE6"/>
    <w:rsid w:val="0074100E"/>
    <w:rsid w:val="007A0520"/>
    <w:rsid w:val="007B18E0"/>
    <w:rsid w:val="008B4E82"/>
    <w:rsid w:val="008F2A58"/>
    <w:rsid w:val="00900039"/>
    <w:rsid w:val="00902C18"/>
    <w:rsid w:val="00942366"/>
    <w:rsid w:val="00961740"/>
    <w:rsid w:val="009714E0"/>
    <w:rsid w:val="00984ECC"/>
    <w:rsid w:val="009D6E7E"/>
    <w:rsid w:val="00A32624"/>
    <w:rsid w:val="00A71A29"/>
    <w:rsid w:val="00A93117"/>
    <w:rsid w:val="00AE5576"/>
    <w:rsid w:val="00AE6FD3"/>
    <w:rsid w:val="00AF2FFB"/>
    <w:rsid w:val="00B0544B"/>
    <w:rsid w:val="00B12C18"/>
    <w:rsid w:val="00B34585"/>
    <w:rsid w:val="00BA09BA"/>
    <w:rsid w:val="00BF2EA7"/>
    <w:rsid w:val="00C13990"/>
    <w:rsid w:val="00C40390"/>
    <w:rsid w:val="00C42996"/>
    <w:rsid w:val="00CA0325"/>
    <w:rsid w:val="00CB1BFC"/>
    <w:rsid w:val="00CB3577"/>
    <w:rsid w:val="00CC1A9D"/>
    <w:rsid w:val="00D34E32"/>
    <w:rsid w:val="00D41894"/>
    <w:rsid w:val="00DD46C3"/>
    <w:rsid w:val="00DE2393"/>
    <w:rsid w:val="00DE2E04"/>
    <w:rsid w:val="00E077E5"/>
    <w:rsid w:val="00E148DF"/>
    <w:rsid w:val="00E9567B"/>
    <w:rsid w:val="00EC1E82"/>
    <w:rsid w:val="00EF0523"/>
    <w:rsid w:val="00F53951"/>
    <w:rsid w:val="00F64A7D"/>
    <w:rsid w:val="00F927BC"/>
    <w:rsid w:val="00FA4B8F"/>
    <w:rsid w:val="00FB55A8"/>
    <w:rsid w:val="00FC3607"/>
    <w:rsid w:val="00FD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8D1082"/>
  <w15:chartTrackingRefBased/>
  <w15:docId w15:val="{1F53E6F1-9663-4B18-B86B-BE4B9BA9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5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0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052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A05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05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05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5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5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52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1399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4EC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37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757"/>
  </w:style>
  <w:style w:type="paragraph" w:styleId="Footer">
    <w:name w:val="footer"/>
    <w:basedOn w:val="Normal"/>
    <w:link w:val="FooterChar"/>
    <w:uiPriority w:val="99"/>
    <w:unhideWhenUsed/>
    <w:rsid w:val="004A37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dvance-he.ac.uk/checklist-key-good-practice-principles-equality-impact-assessment-outcome-agreeme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dvance-he.ac.uk/strategic-EI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Ireson</dc:creator>
  <cp:keywords/>
  <dc:description/>
  <cp:lastModifiedBy>Tom Botterill</cp:lastModifiedBy>
  <cp:revision>4</cp:revision>
  <cp:lastPrinted>2019-09-04T14:39:00Z</cp:lastPrinted>
  <dcterms:created xsi:type="dcterms:W3CDTF">2020-04-24T09:00:00Z</dcterms:created>
  <dcterms:modified xsi:type="dcterms:W3CDTF">2020-04-24T09:04:00Z</dcterms:modified>
</cp:coreProperties>
</file>